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36A" w:rsidRPr="0028036A" w:rsidRDefault="0028036A" w:rsidP="0028036A">
      <w:pPr>
        <w:jc w:val="center"/>
        <w:rPr>
          <w:b/>
          <w:color w:val="FF0000"/>
          <w:sz w:val="24"/>
          <w:szCs w:val="24"/>
          <w:u w:val="single"/>
          <w:lang w:val="es-US"/>
        </w:rPr>
      </w:pPr>
      <w:r w:rsidRPr="0028036A">
        <w:rPr>
          <w:b/>
          <w:color w:val="FF0000"/>
          <w:sz w:val="24"/>
          <w:szCs w:val="24"/>
          <w:u w:val="single"/>
          <w:lang w:val="es-US"/>
        </w:rPr>
        <w:t xml:space="preserve">Siguen llegando los estafadores con supuestos premios de </w:t>
      </w:r>
      <w:proofErr w:type="spellStart"/>
      <w:r w:rsidRPr="0028036A">
        <w:rPr>
          <w:b/>
          <w:color w:val="FF0000"/>
          <w:sz w:val="24"/>
          <w:szCs w:val="24"/>
          <w:u w:val="single"/>
          <w:lang w:val="es-US"/>
        </w:rPr>
        <w:t>Publishers</w:t>
      </w:r>
      <w:proofErr w:type="spellEnd"/>
      <w:r w:rsidRPr="0028036A">
        <w:rPr>
          <w:b/>
          <w:color w:val="FF0000"/>
          <w:sz w:val="24"/>
          <w:szCs w:val="24"/>
          <w:u w:val="single"/>
          <w:lang w:val="es-US"/>
        </w:rPr>
        <w:t xml:space="preserve"> </w:t>
      </w:r>
      <w:proofErr w:type="spellStart"/>
      <w:r w:rsidRPr="0028036A">
        <w:rPr>
          <w:b/>
          <w:color w:val="FF0000"/>
          <w:sz w:val="24"/>
          <w:szCs w:val="24"/>
          <w:u w:val="single"/>
          <w:lang w:val="es-US"/>
        </w:rPr>
        <w:t>Clearing</w:t>
      </w:r>
      <w:proofErr w:type="spellEnd"/>
      <w:r w:rsidRPr="0028036A">
        <w:rPr>
          <w:b/>
          <w:color w:val="FF0000"/>
          <w:sz w:val="24"/>
          <w:szCs w:val="24"/>
          <w:u w:val="single"/>
          <w:lang w:val="es-US"/>
        </w:rPr>
        <w:t xml:space="preserve"> </w:t>
      </w:r>
      <w:proofErr w:type="spellStart"/>
      <w:r w:rsidRPr="0028036A">
        <w:rPr>
          <w:b/>
          <w:color w:val="FF0000"/>
          <w:sz w:val="24"/>
          <w:szCs w:val="24"/>
          <w:u w:val="single"/>
          <w:lang w:val="es-US"/>
        </w:rPr>
        <w:t>House</w:t>
      </w:r>
      <w:proofErr w:type="spellEnd"/>
    </w:p>
    <w:p w:rsidR="0028036A" w:rsidRPr="0028036A" w:rsidRDefault="0028036A" w:rsidP="0028036A">
      <w:pPr>
        <w:rPr>
          <w:lang w:val="es-US"/>
        </w:rPr>
      </w:pPr>
      <w:r w:rsidRPr="0028036A">
        <w:rPr>
          <w:lang w:val="es-US"/>
        </w:rPr>
        <w:t>24 de abril de 2018</w:t>
      </w:r>
    </w:p>
    <w:p w:rsidR="0028036A" w:rsidRPr="0028036A" w:rsidRDefault="0028036A" w:rsidP="0028036A">
      <w:pPr>
        <w:rPr>
          <w:lang w:val="es-US"/>
        </w:rPr>
      </w:pPr>
      <w:r w:rsidRPr="0028036A">
        <w:rPr>
          <w:lang w:val="es-US"/>
        </w:rPr>
        <w:t xml:space="preserve">por </w:t>
      </w:r>
    </w:p>
    <w:p w:rsidR="0028036A" w:rsidRPr="0028036A" w:rsidRDefault="0028036A" w:rsidP="0028036A">
      <w:pPr>
        <w:rPr>
          <w:lang w:val="es-US"/>
        </w:rPr>
      </w:pPr>
      <w:r w:rsidRPr="0028036A">
        <w:rPr>
          <w:lang w:val="es-US"/>
        </w:rPr>
        <w:t xml:space="preserve">Emma </w:t>
      </w:r>
      <w:proofErr w:type="spellStart"/>
      <w:r w:rsidRPr="0028036A">
        <w:rPr>
          <w:lang w:val="es-US"/>
        </w:rPr>
        <w:t>Fletcher</w:t>
      </w:r>
      <w:proofErr w:type="spellEnd"/>
      <w:r w:rsidRPr="0028036A">
        <w:rPr>
          <w:lang w:val="es-US"/>
        </w:rPr>
        <w:t xml:space="preserve"> </w:t>
      </w:r>
    </w:p>
    <w:p w:rsidR="0028036A" w:rsidRPr="0028036A" w:rsidRDefault="0028036A" w:rsidP="0028036A">
      <w:pPr>
        <w:rPr>
          <w:lang w:val="es-US"/>
        </w:rPr>
      </w:pPr>
      <w:r w:rsidRPr="0028036A">
        <w:rPr>
          <w:lang w:val="es-US"/>
        </w:rPr>
        <w:t xml:space="preserve">Especialista en educación del consumidor, FTC </w:t>
      </w:r>
    </w:p>
    <w:p w:rsidR="0028036A" w:rsidRPr="0028036A" w:rsidRDefault="0028036A" w:rsidP="0028036A">
      <w:pPr>
        <w:rPr>
          <w:lang w:val="es-US"/>
        </w:rPr>
      </w:pPr>
      <w:r w:rsidRPr="0028036A">
        <w:rPr>
          <w:lang w:val="es-US"/>
        </w:rPr>
        <w:t xml:space="preserve">¿A quién no le gustaría ser ese ganador que se ve en la televisión sosteniendo un colosal cheque gigantesco de un sorteo? Es por eso que los estafadores oportunistas cuentan con ese anhelo cuando dicen ser de </w:t>
      </w:r>
      <w:proofErr w:type="spellStart"/>
      <w:r w:rsidRPr="0028036A">
        <w:rPr>
          <w:lang w:val="es-US"/>
        </w:rPr>
        <w:t>Publishers</w:t>
      </w:r>
      <w:proofErr w:type="spellEnd"/>
      <w:r w:rsidRPr="0028036A">
        <w:rPr>
          <w:lang w:val="es-US"/>
        </w:rPr>
        <w:t xml:space="preserve"> </w:t>
      </w:r>
      <w:proofErr w:type="spellStart"/>
      <w:r w:rsidRPr="0028036A">
        <w:rPr>
          <w:lang w:val="es-US"/>
        </w:rPr>
        <w:t>Clearing</w:t>
      </w:r>
      <w:proofErr w:type="spellEnd"/>
      <w:r w:rsidRPr="0028036A">
        <w:rPr>
          <w:lang w:val="es-US"/>
        </w:rPr>
        <w:t xml:space="preserve"> </w:t>
      </w:r>
      <w:proofErr w:type="spellStart"/>
      <w:r w:rsidRPr="0028036A">
        <w:rPr>
          <w:lang w:val="es-US"/>
        </w:rPr>
        <w:t>House</w:t>
      </w:r>
      <w:proofErr w:type="spellEnd"/>
      <w:r w:rsidRPr="0028036A">
        <w:rPr>
          <w:lang w:val="es-US"/>
        </w:rPr>
        <w:t xml:space="preserve">. Este es un viejo </w:t>
      </w:r>
      <w:proofErr w:type="gramStart"/>
      <w:r w:rsidRPr="0028036A">
        <w:rPr>
          <w:lang w:val="es-US"/>
        </w:rPr>
        <w:t>truco</w:t>
      </w:r>
      <w:proofErr w:type="gramEnd"/>
      <w:r w:rsidRPr="0028036A">
        <w:rPr>
          <w:lang w:val="es-US"/>
        </w:rPr>
        <w:t xml:space="preserve"> pero sigue siendo un buen truco para los estafadores.</w:t>
      </w:r>
    </w:p>
    <w:p w:rsidR="0028036A" w:rsidRPr="0028036A" w:rsidRDefault="0028036A" w:rsidP="0028036A">
      <w:pPr>
        <w:rPr>
          <w:lang w:val="es-US"/>
        </w:rPr>
      </w:pPr>
      <w:r w:rsidRPr="0028036A">
        <w:rPr>
          <w:lang w:val="es-US"/>
        </w:rPr>
        <w:t xml:space="preserve">La estafa comienza con una llamada o carta diciendo que te ganaste un premio en el sorteo de </w:t>
      </w:r>
      <w:proofErr w:type="spellStart"/>
      <w:r w:rsidRPr="0028036A">
        <w:rPr>
          <w:lang w:val="es-US"/>
        </w:rPr>
        <w:t>Publishers</w:t>
      </w:r>
      <w:proofErr w:type="spellEnd"/>
      <w:r w:rsidRPr="0028036A">
        <w:rPr>
          <w:lang w:val="es-US"/>
        </w:rPr>
        <w:t xml:space="preserve"> </w:t>
      </w:r>
      <w:proofErr w:type="spellStart"/>
      <w:r w:rsidRPr="0028036A">
        <w:rPr>
          <w:lang w:val="es-US"/>
        </w:rPr>
        <w:t>Clearing</w:t>
      </w:r>
      <w:proofErr w:type="spellEnd"/>
      <w:r w:rsidRPr="0028036A">
        <w:rPr>
          <w:lang w:val="es-US"/>
        </w:rPr>
        <w:t xml:space="preserve"> </w:t>
      </w:r>
      <w:proofErr w:type="spellStart"/>
      <w:r w:rsidRPr="0028036A">
        <w:rPr>
          <w:lang w:val="es-US"/>
        </w:rPr>
        <w:t>House</w:t>
      </w:r>
      <w:proofErr w:type="spellEnd"/>
      <w:r w:rsidRPr="0028036A">
        <w:rPr>
          <w:lang w:val="es-US"/>
        </w:rPr>
        <w:t xml:space="preserve">. Pero te dicen </w:t>
      </w:r>
      <w:proofErr w:type="gramStart"/>
      <w:r w:rsidRPr="0028036A">
        <w:rPr>
          <w:lang w:val="es-US"/>
        </w:rPr>
        <w:t>que</w:t>
      </w:r>
      <w:proofErr w:type="gramEnd"/>
      <w:r w:rsidRPr="0028036A">
        <w:rPr>
          <w:lang w:val="es-US"/>
        </w:rPr>
        <w:t xml:space="preserve"> para cobrar tu premio, tienes que enviar dinero para pagar cargos e impuestos. Habitualmente, te pedirán que envíes dinero a través de Western </w:t>
      </w:r>
      <w:proofErr w:type="spellStart"/>
      <w:r w:rsidRPr="0028036A">
        <w:rPr>
          <w:lang w:val="es-US"/>
        </w:rPr>
        <w:t>Union</w:t>
      </w:r>
      <w:proofErr w:type="spellEnd"/>
      <w:r w:rsidRPr="0028036A">
        <w:rPr>
          <w:lang w:val="es-US"/>
        </w:rPr>
        <w:t xml:space="preserve"> o </w:t>
      </w:r>
      <w:proofErr w:type="spellStart"/>
      <w:r w:rsidRPr="0028036A">
        <w:rPr>
          <w:lang w:val="es-US"/>
        </w:rPr>
        <w:t>MoneyGram</w:t>
      </w:r>
      <w:proofErr w:type="spellEnd"/>
      <w:r w:rsidRPr="0028036A">
        <w:rPr>
          <w:lang w:val="es-US"/>
        </w:rPr>
        <w:t>, o que consigas una tarjeta recargable o una tarjeta de regalo. Los estafadores te piden que les pagues de alguna de esas maneras porque es casi imposible rastrear el dinero — y casi nunca lo recuperarás.</w:t>
      </w:r>
    </w:p>
    <w:p w:rsidR="0028036A" w:rsidRPr="0028036A" w:rsidRDefault="0028036A" w:rsidP="0028036A">
      <w:pPr>
        <w:rPr>
          <w:lang w:val="es-US"/>
        </w:rPr>
      </w:pPr>
      <w:r w:rsidRPr="0028036A">
        <w:rPr>
          <w:lang w:val="es-US"/>
        </w:rPr>
        <w:t>Pero esa no es la única manera que usan los estafadores para quitarte tu dinero con esta estafa. Algunos te enviarán por correo un</w:t>
      </w:r>
      <w:hyperlink r:id="rId5" w:tgtFrame="_blank" w:history="1">
        <w:r w:rsidRPr="0028036A">
          <w:rPr>
            <w:rStyle w:val="Hipervnculo"/>
            <w:lang w:val="es-US"/>
          </w:rPr>
          <w:t xml:space="preserve"> cheque falso</w:t>
        </w:r>
      </w:hyperlink>
      <w:r w:rsidRPr="0028036A">
        <w:rPr>
          <w:lang w:val="es-US"/>
        </w:rPr>
        <w:t xml:space="preserve"> que parece auténtico.</w:t>
      </w:r>
      <w:r w:rsidR="006460F0">
        <w:rPr>
          <w:lang w:val="es-US"/>
        </w:rPr>
        <w:t xml:space="preserve"> </w:t>
      </w:r>
      <w:bookmarkStart w:id="0" w:name="_GoBack"/>
      <w:bookmarkEnd w:id="0"/>
      <w:r w:rsidRPr="0028036A">
        <w:rPr>
          <w:lang w:val="es-US"/>
        </w:rPr>
        <w:t>Entonces te dicen que para cobrar tu premio tienes que depositar el cheque y enviarles una parte del dinero para cubrir el pago de gastos ficticios. Pero cuando te rechazan el cheque que depositaste — incluso después de que parezca que fue aprobado — es posible que quedes debiendo el dinero que enviaste.</w:t>
      </w:r>
    </w:p>
    <w:p w:rsidR="0028036A" w:rsidRPr="0028036A" w:rsidRDefault="0028036A" w:rsidP="0028036A">
      <w:pPr>
        <w:rPr>
          <w:lang w:val="es-US"/>
        </w:rPr>
      </w:pPr>
      <w:r w:rsidRPr="0028036A">
        <w:rPr>
          <w:lang w:val="es-US"/>
        </w:rPr>
        <w:t>Si crees que te ganaste un premio, te listamos algunas cosas que tienes que saber:</w:t>
      </w:r>
    </w:p>
    <w:p w:rsidR="0028036A" w:rsidRPr="0028036A" w:rsidRDefault="0028036A" w:rsidP="0028036A">
      <w:pPr>
        <w:numPr>
          <w:ilvl w:val="0"/>
          <w:numId w:val="2"/>
        </w:numPr>
        <w:rPr>
          <w:lang w:val="es-US"/>
        </w:rPr>
      </w:pPr>
      <w:r w:rsidRPr="0028036A">
        <w:rPr>
          <w:lang w:val="es-US"/>
        </w:rPr>
        <w:t>Nunca envíes dinero para cobrar un premio, un cheque de un sorteo o un premio de la lotería. Si tienes que pagar, es una estafa.</w:t>
      </w:r>
    </w:p>
    <w:p w:rsidR="0028036A" w:rsidRPr="0028036A" w:rsidRDefault="0028036A" w:rsidP="0028036A">
      <w:pPr>
        <w:numPr>
          <w:ilvl w:val="0"/>
          <w:numId w:val="2"/>
        </w:numPr>
        <w:rPr>
          <w:lang w:val="es-US"/>
        </w:rPr>
      </w:pPr>
      <w:r w:rsidRPr="0028036A">
        <w:rPr>
          <w:lang w:val="es-US"/>
        </w:rPr>
        <w:t>Nunca deposites un cheque y envíes dinero de vuelta, aunque los fondos aparezcan acreditados en tu cuenta. Eso es un signo seguro de una estafa.</w:t>
      </w:r>
    </w:p>
    <w:p w:rsidR="0028036A" w:rsidRPr="0028036A" w:rsidRDefault="0028036A" w:rsidP="0028036A">
      <w:pPr>
        <w:numPr>
          <w:ilvl w:val="0"/>
          <w:numId w:val="2"/>
        </w:numPr>
        <w:rPr>
          <w:lang w:val="es-US"/>
        </w:rPr>
      </w:pPr>
      <w:r w:rsidRPr="0028036A">
        <w:rPr>
          <w:lang w:val="es-US"/>
        </w:rPr>
        <w:t xml:space="preserve">Si te llama alguien y te pide que pagues por un premio, cuelga el teléfono </w:t>
      </w:r>
      <w:hyperlink r:id="rId6" w:tgtFrame="_blank" w:history="1">
        <w:r w:rsidRPr="0028036A">
          <w:rPr>
            <w:rStyle w:val="Hipervnculo"/>
            <w:lang w:val="es-US"/>
          </w:rPr>
          <w:t>y repórtalo a la FTC</w:t>
        </w:r>
      </w:hyperlink>
      <w:r w:rsidRPr="0028036A">
        <w:rPr>
          <w:lang w:val="es-US"/>
        </w:rPr>
        <w:t>.</w:t>
      </w:r>
    </w:p>
    <w:p w:rsidR="0028036A" w:rsidRPr="0028036A" w:rsidRDefault="0028036A" w:rsidP="0028036A">
      <w:pPr>
        <w:rPr>
          <w:lang w:val="es-US"/>
        </w:rPr>
      </w:pPr>
      <w:r w:rsidRPr="0028036A">
        <w:rPr>
          <w:lang w:val="es-US"/>
        </w:rPr>
        <w:t xml:space="preserve">¿Quieres saber más? Lee nuestro artículo sobre </w:t>
      </w:r>
      <w:hyperlink r:id="rId7" w:tgtFrame="_blank" w:history="1">
        <w:r w:rsidRPr="0028036A">
          <w:rPr>
            <w:rStyle w:val="Hipervnculo"/>
            <w:lang w:val="es-US"/>
          </w:rPr>
          <w:t>estafas de premios</w:t>
        </w:r>
      </w:hyperlink>
      <w:r w:rsidRPr="0028036A">
        <w:rPr>
          <w:lang w:val="es-US"/>
        </w:rPr>
        <w:t xml:space="preserve">. Y si le transferiste dinero a un estafador de premios a través de Western </w:t>
      </w:r>
      <w:proofErr w:type="spellStart"/>
      <w:r w:rsidRPr="0028036A">
        <w:rPr>
          <w:lang w:val="es-US"/>
        </w:rPr>
        <w:t>Union</w:t>
      </w:r>
      <w:proofErr w:type="spellEnd"/>
      <w:r w:rsidRPr="0028036A">
        <w:rPr>
          <w:lang w:val="es-US"/>
        </w:rPr>
        <w:t xml:space="preserve"> entre el 1 de enero de 2004 y el 19 de enero de 2017, tal vez seas </w:t>
      </w:r>
      <w:hyperlink r:id="rId8" w:tgtFrame="_blank" w:history="1">
        <w:r w:rsidRPr="0028036A">
          <w:rPr>
            <w:rStyle w:val="Hipervnculo"/>
            <w:lang w:val="es-US"/>
          </w:rPr>
          <w:t>elegible para recibir un reembolso</w:t>
        </w:r>
      </w:hyperlink>
      <w:r w:rsidRPr="0028036A">
        <w:rPr>
          <w:lang w:val="es-US"/>
        </w:rPr>
        <w:t>.</w:t>
      </w:r>
    </w:p>
    <w:p w:rsidR="0028036A" w:rsidRDefault="0028036A" w:rsidP="0028036A">
      <w:pPr>
        <w:rPr>
          <w:lang w:val="es-US"/>
        </w:rPr>
      </w:pPr>
      <w:r w:rsidRPr="0028036A">
        <w:rPr>
          <w:lang w:val="es-US"/>
        </w:rPr>
        <w:t xml:space="preserve">¿Todavía sigue pensando que es verdad? La auténtica </w:t>
      </w:r>
      <w:proofErr w:type="spellStart"/>
      <w:r w:rsidRPr="0028036A">
        <w:rPr>
          <w:lang w:val="es-US"/>
        </w:rPr>
        <w:t>Publishers</w:t>
      </w:r>
      <w:proofErr w:type="spellEnd"/>
      <w:r w:rsidRPr="0028036A">
        <w:rPr>
          <w:lang w:val="es-US"/>
        </w:rPr>
        <w:t xml:space="preserve"> </w:t>
      </w:r>
      <w:proofErr w:type="spellStart"/>
      <w:r w:rsidRPr="0028036A">
        <w:rPr>
          <w:lang w:val="es-US"/>
        </w:rPr>
        <w:t>Clearing</w:t>
      </w:r>
      <w:proofErr w:type="spellEnd"/>
      <w:r w:rsidRPr="0028036A">
        <w:rPr>
          <w:lang w:val="es-US"/>
        </w:rPr>
        <w:t xml:space="preserve"> </w:t>
      </w:r>
      <w:proofErr w:type="spellStart"/>
      <w:r w:rsidRPr="0028036A">
        <w:rPr>
          <w:lang w:val="es-US"/>
        </w:rPr>
        <w:t>House</w:t>
      </w:r>
      <w:proofErr w:type="spellEnd"/>
      <w:r w:rsidRPr="0028036A">
        <w:rPr>
          <w:lang w:val="es-US"/>
        </w:rPr>
        <w:t xml:space="preserve"> dice que nunca te pedirá que pagues un cargo para cobrar un premio.</w:t>
      </w:r>
    </w:p>
    <w:p w:rsidR="0028036A" w:rsidRDefault="0028036A" w:rsidP="0028036A">
      <w:pPr>
        <w:rPr>
          <w:lang w:val="es-US"/>
        </w:rPr>
      </w:pPr>
    </w:p>
    <w:p w:rsidR="0028036A" w:rsidRPr="0028036A" w:rsidRDefault="0028036A" w:rsidP="0028036A">
      <w:pPr>
        <w:rPr>
          <w:b/>
          <w:i/>
        </w:rPr>
      </w:pPr>
      <w:r w:rsidRPr="0028036A">
        <w:rPr>
          <w:b/>
          <w:i/>
          <w:lang w:val="es-US"/>
        </w:rPr>
        <w:t>www.consumidor.ftc.gov</w:t>
      </w:r>
    </w:p>
    <w:p w:rsidR="00106503" w:rsidRPr="0028036A" w:rsidRDefault="00106503">
      <w:pPr>
        <w:rPr>
          <w:lang w:val="es-US"/>
        </w:rPr>
      </w:pPr>
    </w:p>
    <w:sectPr w:rsidR="00106503" w:rsidRPr="0028036A">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F3920"/>
    <w:multiLevelType w:val="multilevel"/>
    <w:tmpl w:val="994A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D31BF4"/>
    <w:multiLevelType w:val="multilevel"/>
    <w:tmpl w:val="49E4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6A"/>
    <w:rsid w:val="00106503"/>
    <w:rsid w:val="0028036A"/>
    <w:rsid w:val="006460F0"/>
    <w:rsid w:val="00E4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22E0"/>
  <w15:chartTrackingRefBased/>
  <w15:docId w15:val="{88FBE828-5F1F-4B80-8DDB-1DFAD696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803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187377">
      <w:bodyDiv w:val="1"/>
      <w:marLeft w:val="0"/>
      <w:marRight w:val="0"/>
      <w:marTop w:val="0"/>
      <w:marBottom w:val="0"/>
      <w:divBdr>
        <w:top w:val="none" w:sz="0" w:space="0" w:color="auto"/>
        <w:left w:val="none" w:sz="0" w:space="0" w:color="auto"/>
        <w:bottom w:val="none" w:sz="0" w:space="0" w:color="auto"/>
        <w:right w:val="none" w:sz="0" w:space="0" w:color="auto"/>
      </w:divBdr>
      <w:divsChild>
        <w:div w:id="458652257">
          <w:marLeft w:val="0"/>
          <w:marRight w:val="0"/>
          <w:marTop w:val="0"/>
          <w:marBottom w:val="0"/>
          <w:divBdr>
            <w:top w:val="none" w:sz="0" w:space="0" w:color="auto"/>
            <w:left w:val="none" w:sz="0" w:space="0" w:color="auto"/>
            <w:bottom w:val="none" w:sz="0" w:space="0" w:color="auto"/>
            <w:right w:val="none" w:sz="0" w:space="0" w:color="auto"/>
          </w:divBdr>
        </w:div>
        <w:div w:id="2004694942">
          <w:marLeft w:val="0"/>
          <w:marRight w:val="0"/>
          <w:marTop w:val="0"/>
          <w:marBottom w:val="0"/>
          <w:divBdr>
            <w:top w:val="none" w:sz="0" w:space="0" w:color="auto"/>
            <w:left w:val="none" w:sz="0" w:space="0" w:color="auto"/>
            <w:bottom w:val="none" w:sz="0" w:space="0" w:color="auto"/>
            <w:right w:val="none" w:sz="0" w:space="0" w:color="auto"/>
          </w:divBdr>
          <w:divsChild>
            <w:div w:id="2142187289">
              <w:marLeft w:val="0"/>
              <w:marRight w:val="0"/>
              <w:marTop w:val="210"/>
              <w:marBottom w:val="210"/>
              <w:divBdr>
                <w:top w:val="none" w:sz="0" w:space="0" w:color="auto"/>
                <w:left w:val="none" w:sz="0" w:space="0" w:color="auto"/>
                <w:bottom w:val="none" w:sz="0" w:space="0" w:color="auto"/>
                <w:right w:val="none" w:sz="0" w:space="0" w:color="auto"/>
              </w:divBdr>
              <w:divsChild>
                <w:div w:id="906646647">
                  <w:marLeft w:val="0"/>
                  <w:marRight w:val="0"/>
                  <w:marTop w:val="0"/>
                  <w:marBottom w:val="0"/>
                  <w:divBdr>
                    <w:top w:val="none" w:sz="0" w:space="0" w:color="auto"/>
                    <w:left w:val="none" w:sz="0" w:space="0" w:color="auto"/>
                    <w:bottom w:val="none" w:sz="0" w:space="0" w:color="auto"/>
                    <w:right w:val="none" w:sz="0" w:space="0" w:color="auto"/>
                  </w:divBdr>
                  <w:divsChild>
                    <w:div w:id="1769619655">
                      <w:marLeft w:val="0"/>
                      <w:marRight w:val="0"/>
                      <w:marTop w:val="0"/>
                      <w:marBottom w:val="0"/>
                      <w:divBdr>
                        <w:top w:val="none" w:sz="0" w:space="0" w:color="auto"/>
                        <w:left w:val="none" w:sz="0" w:space="0" w:color="auto"/>
                        <w:bottom w:val="none" w:sz="0" w:space="0" w:color="auto"/>
                        <w:right w:val="none" w:sz="0" w:space="0" w:color="auto"/>
                      </w:divBdr>
                      <w:divsChild>
                        <w:div w:id="819157328">
                          <w:marLeft w:val="0"/>
                          <w:marRight w:val="0"/>
                          <w:marTop w:val="0"/>
                          <w:marBottom w:val="0"/>
                          <w:divBdr>
                            <w:top w:val="none" w:sz="0" w:space="0" w:color="auto"/>
                            <w:left w:val="none" w:sz="0" w:space="0" w:color="auto"/>
                            <w:bottom w:val="none" w:sz="0" w:space="0" w:color="auto"/>
                            <w:right w:val="none" w:sz="0" w:space="0" w:color="auto"/>
                          </w:divBdr>
                          <w:divsChild>
                            <w:div w:id="103195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7004">
              <w:marLeft w:val="0"/>
              <w:marRight w:val="0"/>
              <w:marTop w:val="0"/>
              <w:marBottom w:val="0"/>
              <w:divBdr>
                <w:top w:val="none" w:sz="0" w:space="0" w:color="auto"/>
                <w:left w:val="none" w:sz="0" w:space="0" w:color="auto"/>
                <w:bottom w:val="none" w:sz="0" w:space="0" w:color="auto"/>
                <w:right w:val="none" w:sz="0" w:space="0" w:color="auto"/>
              </w:divBdr>
              <w:divsChild>
                <w:div w:id="538518303">
                  <w:marLeft w:val="0"/>
                  <w:marRight w:val="0"/>
                  <w:marTop w:val="0"/>
                  <w:marBottom w:val="0"/>
                  <w:divBdr>
                    <w:top w:val="none" w:sz="0" w:space="0" w:color="auto"/>
                    <w:left w:val="none" w:sz="0" w:space="0" w:color="auto"/>
                    <w:bottom w:val="none" w:sz="0" w:space="0" w:color="auto"/>
                    <w:right w:val="none" w:sz="0" w:space="0" w:color="auto"/>
                  </w:divBdr>
                  <w:divsChild>
                    <w:div w:id="1072195358">
                      <w:marLeft w:val="0"/>
                      <w:marRight w:val="0"/>
                      <w:marTop w:val="0"/>
                      <w:marBottom w:val="0"/>
                      <w:divBdr>
                        <w:top w:val="none" w:sz="0" w:space="0" w:color="auto"/>
                        <w:left w:val="none" w:sz="0" w:space="0" w:color="auto"/>
                        <w:bottom w:val="none" w:sz="0" w:space="0" w:color="auto"/>
                        <w:right w:val="none" w:sz="0" w:space="0" w:color="auto"/>
                      </w:divBdr>
                      <w:divsChild>
                        <w:div w:id="2108303648">
                          <w:marLeft w:val="0"/>
                          <w:marRight w:val="0"/>
                          <w:marTop w:val="0"/>
                          <w:marBottom w:val="150"/>
                          <w:divBdr>
                            <w:top w:val="none" w:sz="0" w:space="0" w:color="auto"/>
                            <w:left w:val="none" w:sz="0" w:space="0" w:color="auto"/>
                            <w:bottom w:val="none" w:sz="0" w:space="0" w:color="auto"/>
                            <w:right w:val="none" w:sz="0" w:space="0" w:color="auto"/>
                          </w:divBdr>
                          <w:divsChild>
                            <w:div w:id="810749220">
                              <w:marLeft w:val="0"/>
                              <w:marRight w:val="0"/>
                              <w:marTop w:val="0"/>
                              <w:marBottom w:val="0"/>
                              <w:divBdr>
                                <w:top w:val="none" w:sz="0" w:space="0" w:color="auto"/>
                                <w:left w:val="none" w:sz="0" w:space="0" w:color="auto"/>
                                <w:bottom w:val="none" w:sz="0" w:space="0" w:color="auto"/>
                                <w:right w:val="none" w:sz="0" w:space="0" w:color="auto"/>
                              </w:divBdr>
                              <w:divsChild>
                                <w:div w:id="1629319324">
                                  <w:marLeft w:val="0"/>
                                  <w:marRight w:val="0"/>
                                  <w:marTop w:val="0"/>
                                  <w:marBottom w:val="0"/>
                                  <w:divBdr>
                                    <w:top w:val="none" w:sz="0" w:space="0" w:color="auto"/>
                                    <w:left w:val="none" w:sz="0" w:space="0" w:color="auto"/>
                                    <w:bottom w:val="none" w:sz="0" w:space="0" w:color="auto"/>
                                    <w:right w:val="none" w:sz="0" w:space="0" w:color="auto"/>
                                  </w:divBdr>
                                </w:div>
                              </w:divsChild>
                            </w:div>
                            <w:div w:id="851379757">
                              <w:marLeft w:val="0"/>
                              <w:marRight w:val="0"/>
                              <w:marTop w:val="0"/>
                              <w:marBottom w:val="0"/>
                              <w:divBdr>
                                <w:top w:val="none" w:sz="0" w:space="0" w:color="auto"/>
                                <w:left w:val="none" w:sz="0" w:space="0" w:color="auto"/>
                                <w:bottom w:val="none" w:sz="0" w:space="0" w:color="auto"/>
                                <w:right w:val="none" w:sz="0" w:space="0" w:color="auto"/>
                              </w:divBdr>
                            </w:div>
                          </w:divsChild>
                        </w:div>
                        <w:div w:id="1005133040">
                          <w:marLeft w:val="0"/>
                          <w:marRight w:val="0"/>
                          <w:marTop w:val="0"/>
                          <w:marBottom w:val="0"/>
                          <w:divBdr>
                            <w:top w:val="none" w:sz="0" w:space="0" w:color="auto"/>
                            <w:left w:val="none" w:sz="0" w:space="0" w:color="auto"/>
                            <w:bottom w:val="none" w:sz="0" w:space="0" w:color="auto"/>
                            <w:right w:val="none" w:sz="0" w:space="0" w:color="auto"/>
                          </w:divBdr>
                          <w:divsChild>
                            <w:div w:id="11874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idor.ftc.gov/blog/2018/04/ftc.gov/wu" TargetMode="External"/><Relationship Id="rId3" Type="http://schemas.openxmlformats.org/officeDocument/2006/relationships/settings" Target="settings.xml"/><Relationship Id="rId7" Type="http://schemas.openxmlformats.org/officeDocument/2006/relationships/hyperlink" Target="https://www.consumidor.ftc.gov/articulos/s0199-ofrecimientos-de-premi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tc.gov/queja" TargetMode="External"/><Relationship Id="rId5" Type="http://schemas.openxmlformats.org/officeDocument/2006/relationships/hyperlink" Target="https://www.consumidor.ftc.gov/articulos/s0159-cheques-falso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409</Words>
  <Characters>2251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Tidewater Hispanic Newspaper</dc:creator>
  <cp:keywords/>
  <dc:description/>
  <cp:lastModifiedBy>Tidewater Hispanic Newspaper</cp:lastModifiedBy>
  <cp:revision>2</cp:revision>
  <dcterms:created xsi:type="dcterms:W3CDTF">2018-05-02T16:52:00Z</dcterms:created>
  <dcterms:modified xsi:type="dcterms:W3CDTF">2018-05-02T16:55:00Z</dcterms:modified>
</cp:coreProperties>
</file>